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黑体" w:hAnsi="黑体" w:eastAsia="黑体" w:cs="黑体"/>
          <w:spacing w:val="-2"/>
          <w:sz w:val="32"/>
          <w:szCs w:val="32"/>
        </w:rPr>
        <w:t>附件</w:t>
      </w:r>
      <w:r>
        <w:rPr>
          <w:rFonts w:hint="eastAsia" w:ascii="黑体" w:hAnsi="黑体" w:eastAsia="黑体" w:cs="黑体"/>
          <w:spacing w:val="-1"/>
          <w:sz w:val="32"/>
          <w:szCs w:val="32"/>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34" w:line="579" w:lineRule="exact"/>
        <w:ind w:right="29" w:right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4"/>
          <w:sz w:val="44"/>
          <w:szCs w:val="44"/>
        </w:rPr>
        <w:t>高危险性</w:t>
      </w:r>
      <w:r>
        <w:rPr>
          <w:rFonts w:hint="eastAsia" w:ascii="方正小标宋简体" w:hAnsi="方正小标宋简体" w:eastAsia="方正小标宋简体" w:cs="方正小标宋简体"/>
          <w:spacing w:val="14"/>
          <w:sz w:val="44"/>
          <w:szCs w:val="44"/>
        </w:rPr>
        <w:t>体</w:t>
      </w:r>
      <w:r>
        <w:rPr>
          <w:rFonts w:hint="eastAsia" w:ascii="方正小标宋简体" w:hAnsi="方正小标宋简体" w:eastAsia="方正小标宋简体" w:cs="方正小标宋简体"/>
          <w:spacing w:val="8"/>
          <w:sz w:val="44"/>
          <w:szCs w:val="44"/>
        </w:rPr>
        <w:t>育</w:t>
      </w:r>
      <w:r>
        <w:rPr>
          <w:rFonts w:hint="eastAsia" w:ascii="方正小标宋简体" w:hAnsi="方正小标宋简体" w:eastAsia="方正小标宋简体" w:cs="方正小标宋简体"/>
          <w:spacing w:val="7"/>
          <w:sz w:val="44"/>
          <w:szCs w:val="44"/>
        </w:rPr>
        <w:t>项目</w:t>
      </w:r>
      <w:r>
        <w:rPr>
          <w:rFonts w:hint="eastAsia" w:ascii="方正小标宋简体" w:hAnsi="方正小标宋简体" w:eastAsia="方正小标宋简体" w:cs="方正小标宋简体"/>
          <w:spacing w:val="4"/>
          <w:sz w:val="44"/>
          <w:szCs w:val="44"/>
        </w:rPr>
        <w:t>经营</w:t>
      </w:r>
      <w:r>
        <w:rPr>
          <w:rFonts w:hint="eastAsia" w:ascii="方正小标宋简体" w:hAnsi="方正小标宋简体" w:eastAsia="方正小标宋简体" w:cs="方正小标宋简体"/>
          <w:spacing w:val="7"/>
          <w:sz w:val="44"/>
          <w:szCs w:val="44"/>
        </w:rPr>
        <w:t>许可告知承诺书</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25"/>
          <w:sz w:val="32"/>
          <w:szCs w:val="32"/>
        </w:rPr>
        <w:t>(</w:t>
      </w:r>
      <w:r>
        <w:rPr>
          <w:rFonts w:hint="eastAsia" w:ascii="楷体_GB2312" w:hAnsi="楷体_GB2312" w:eastAsia="楷体_GB2312" w:cs="楷体_GB2312"/>
          <w:spacing w:val="22"/>
          <w:sz w:val="32"/>
          <w:szCs w:val="32"/>
        </w:rPr>
        <w:t>新证办理范本)</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tabs>
          <w:tab w:val="left" w:pos="6565"/>
        </w:tabs>
        <w:kinsoku w:val="0"/>
        <w:wordWrap/>
        <w:overflowPunct/>
        <w:topLinePunct w:val="0"/>
        <w:autoSpaceDE w:val="0"/>
        <w:autoSpaceDN w:val="0"/>
        <w:bidi w:val="0"/>
        <w:adjustRightInd w:val="0"/>
        <w:snapToGrid w:val="0"/>
        <w:spacing w:before="94" w:line="480" w:lineRule="exact"/>
        <w:ind w:firstLine="5838" w:firstLineChars="2100"/>
        <w:textAlignment w:val="baseline"/>
        <w:outlineLvl w:val="9"/>
        <w:rPr>
          <w:rFonts w:hint="eastAsia" w:ascii="仿宋_GB2312" w:hAnsi="仿宋_GB2312" w:eastAsia="仿宋_GB2312" w:cs="仿宋_GB2312"/>
          <w:spacing w:val="-21"/>
          <w:sz w:val="32"/>
          <w:szCs w:val="32"/>
          <w:u w:val="single" w:color="auto"/>
        </w:rPr>
      </w:pPr>
    </w:p>
    <w:p>
      <w:pPr>
        <w:keepNext w:val="0"/>
        <w:keepLines w:val="0"/>
        <w:pageBreakBefore w:val="0"/>
        <w:widowControl/>
        <w:tabs>
          <w:tab w:val="left" w:pos="6565"/>
        </w:tabs>
        <w:kinsoku w:val="0"/>
        <w:wordWrap/>
        <w:overflowPunct/>
        <w:topLinePunct w:val="0"/>
        <w:autoSpaceDE w:val="0"/>
        <w:autoSpaceDN w:val="0"/>
        <w:bidi w:val="0"/>
        <w:adjustRightInd w:val="0"/>
        <w:snapToGrid w:val="0"/>
        <w:spacing w:before="94" w:line="480" w:lineRule="exact"/>
        <w:ind w:firstLine="5282" w:firstLineChars="19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u w:val="none" w:color="auto"/>
          <w:lang w:val="en-US" w:eastAsia="zh-CN"/>
        </w:rPr>
        <w:t>〔</w:t>
      </w:r>
      <w:r>
        <w:rPr>
          <w:rFonts w:hint="eastAsia" w:ascii="仿宋_GB2312" w:hAnsi="仿宋_GB2312" w:eastAsia="仿宋_GB2312" w:cs="仿宋_GB2312"/>
          <w:spacing w:val="-21"/>
          <w:sz w:val="32"/>
          <w:szCs w:val="32"/>
          <w:u w:val="single" w:color="auto"/>
          <w:lang w:val="en-US" w:eastAsia="zh-CN"/>
        </w:rPr>
        <w:t xml:space="preserve">          </w:t>
      </w:r>
      <w:r>
        <w:rPr>
          <w:rFonts w:hint="eastAsia" w:ascii="仿宋_GB2312" w:hAnsi="仿宋_GB2312" w:eastAsia="仿宋_GB2312" w:cs="仿宋_GB2312"/>
          <w:spacing w:val="-21"/>
          <w:sz w:val="32"/>
          <w:szCs w:val="32"/>
          <w:u w:val="none" w:color="auto"/>
        </w:rPr>
        <w:t>年</w:t>
      </w:r>
      <w:r>
        <w:rPr>
          <w:rFonts w:hint="eastAsia" w:ascii="仿宋_GB2312" w:hAnsi="仿宋_GB2312" w:eastAsia="仿宋_GB2312" w:cs="仿宋_GB2312"/>
          <w:spacing w:val="-15"/>
          <w:sz w:val="32"/>
          <w:szCs w:val="32"/>
        </w:rPr>
        <w:t>〕第</w:t>
      </w:r>
      <w:r>
        <w:rPr>
          <w:rFonts w:hint="eastAsia" w:ascii="仿宋_GB2312" w:hAnsi="仿宋_GB2312" w:eastAsia="仿宋_GB2312" w:cs="仿宋_GB2312"/>
          <w:spacing w:val="-15"/>
          <w:sz w:val="32"/>
          <w:szCs w:val="32"/>
          <w:u w:val="single"/>
          <w:lang w:val="en-US" w:eastAsia="zh-CN"/>
        </w:rPr>
        <w:t xml:space="preserve">       </w:t>
      </w:r>
      <w:r>
        <w:rPr>
          <w:rFonts w:hint="eastAsia" w:ascii="仿宋_GB2312" w:hAnsi="仿宋_GB2312" w:eastAsia="仿宋_GB2312" w:cs="仿宋_GB2312"/>
          <w:spacing w:val="-15"/>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4" w:line="480" w:lineRule="exact"/>
        <w:jc w:val="center"/>
        <w:textAlignment w:val="baseline"/>
        <w:outlineLvl w:val="9"/>
        <w:rPr>
          <w:rFonts w:hint="eastAsia" w:ascii="黑体" w:hAnsi="黑体" w:eastAsia="黑体" w:cs="黑体"/>
          <w:spacing w:val="0"/>
          <w:sz w:val="36"/>
          <w:szCs w:val="36"/>
        </w:rPr>
      </w:pPr>
      <w:r>
        <w:rPr>
          <w:rFonts w:hint="eastAsia" w:ascii="黑体" w:hAnsi="黑体" w:eastAsia="黑体" w:cs="黑体"/>
          <w:spacing w:val="0"/>
          <w:sz w:val="36"/>
          <w:szCs w:val="36"/>
        </w:rPr>
        <w:t>第一部分</w:t>
      </w:r>
      <w:r>
        <w:rPr>
          <w:rFonts w:hint="eastAsia" w:ascii="黑体" w:hAnsi="黑体" w:eastAsia="黑体" w:cs="黑体"/>
          <w:spacing w:val="0"/>
          <w:sz w:val="36"/>
          <w:szCs w:val="36"/>
          <w:lang w:val="en-US" w:eastAsia="zh-CN"/>
        </w:rPr>
        <w:t xml:space="preserve">  </w:t>
      </w:r>
      <w:r>
        <w:rPr>
          <w:rFonts w:hint="eastAsia" w:ascii="黑体" w:hAnsi="黑体" w:eastAsia="黑体" w:cs="黑体"/>
          <w:spacing w:val="0"/>
          <w:sz w:val="36"/>
          <w:szCs w:val="36"/>
        </w:rPr>
        <w:t>基本信息</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申</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请</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称：</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经营者或法定代表人：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住所或主要经营场所：</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拟经营的高危险性体育项目：</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（游泳、滑雪项目须明确是否开放夜场）</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委托代理人：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587375</wp:posOffset>
            </wp:positionH>
            <wp:positionV relativeFrom="paragraph">
              <wp:posOffset>136525</wp:posOffset>
            </wp:positionV>
            <wp:extent cx="1822450" cy="1866900"/>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5"/>
                    <a:stretch>
                      <a:fillRect/>
                    </a:stretch>
                  </pic:blipFill>
                  <pic:spPr>
                    <a:xfrm>
                      <a:off x="0" y="0"/>
                      <a:ext cx="1822450" cy="1866900"/>
                    </a:xfrm>
                    <a:prstGeom prst="rect">
                      <a:avLst/>
                    </a:prstGeom>
                    <a:noFill/>
                    <a:ln>
                      <a:noFill/>
                    </a:ln>
                  </pic:spPr>
                </pic:pic>
              </a:graphicData>
            </a:graphic>
          </wp:anchor>
        </w:drawing>
      </w:r>
      <w:bookmarkEnd w:id="0"/>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编号：</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行政审批机关：</w:t>
      </w:r>
      <w:r>
        <w:rPr>
          <w:rFonts w:hint="eastAsia" w:ascii="仿宋_GB2312" w:hAnsi="仿宋_GB2312" w:eastAsia="仿宋_GB2312" w:cs="仿宋_GB2312"/>
          <w:sz w:val="32"/>
          <w:szCs w:val="32"/>
        </w:rPr>
        <w:t>××××体育行政部门</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方式：</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eastAsia" w:ascii="黑体" w:hAnsi="黑体" w:eastAsia="黑体" w:cs="黑体"/>
          <w:sz w:val="36"/>
          <w:szCs w:val="36"/>
        </w:rPr>
      </w:pPr>
      <w:r>
        <w:rPr>
          <w:rFonts w:hint="eastAsia" w:ascii="黑体" w:hAnsi="黑体" w:eastAsia="黑体" w:cs="黑体"/>
          <w:sz w:val="36"/>
          <w:szCs w:val="36"/>
        </w:rPr>
        <w:t>第二部分</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行政审批机关一次性告知事项</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根据《省市场监管局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省司法厅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省政务办关于进一步深化“证照分离”改革的通知》（鄂市监注〔2022〕45号）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本行政</w:t>
      </w:r>
      <w:r>
        <w:rPr>
          <w:rFonts w:hint="eastAsia" w:ascii="仿宋_GB2312" w:hAnsi="仿宋_GB2312" w:eastAsia="仿宋_GB2312" w:cs="仿宋_GB2312"/>
          <w:spacing w:val="-11"/>
          <w:sz w:val="32"/>
          <w:szCs w:val="32"/>
        </w:rPr>
        <w:t>审批机关就你单位申请的行政许可(审批)事项办理一次性告知如下：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一、许可事项及证件名称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高危险性体育项目经营许可(新证办理)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《高危险性体育项目经营许可证》</w:t>
      </w:r>
      <w:r>
        <w:rPr>
          <w:rFonts w:hint="eastAsia" w:ascii="仿宋_GB2312" w:hAnsi="仿宋_GB2312" w:eastAsia="仿宋_GB2312" w:cs="仿宋_GB2312"/>
          <w:sz w:val="32"/>
          <w:szCs w:val="32"/>
          <w:lang w:eastAsia="zh-CN"/>
        </w:rPr>
        <w:t>（新办）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二、审批依据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本行政许可(审批)事项的依据为：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民健身条例》(2009年8月30日国务院令第560号发布，根据2013年7月18日国务院令第638号《国务院关于废止和修改部分行政法规的决定》和2016年2月6日国务院令第666号《国务院关于修改部分行政法规的决定》修改)第三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“企业、个体工商户经营高危险性体育项目的，应当符合下列条件，并向县级以上地方人民政府体育主管部门提出申请：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1.相关体育设施符合国家标准;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2.具有达到规定数量的取得国家职业资格证书的社会体育指导人员和救助人员;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3.具有相应的安全保障制度和措施</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1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县级以上地方人民政府体育主管部门应当自收到申请之日起30日内进行实地核查，做出批准或者不予批准的决定。批准的，</w:t>
      </w:r>
      <w:r>
        <w:rPr>
          <w:rFonts w:hint="eastAsia" w:ascii="仿宋_GB2312" w:hAnsi="仿宋_GB2312" w:eastAsia="仿宋_GB2312" w:cs="仿宋_GB2312"/>
          <w:sz w:val="32"/>
          <w:szCs w:val="32"/>
        </w:rPr>
        <w:t>应当发给许可证;不予批准的，应当书面通知申请人并说明理由。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国务院体育主管部门应当会同有关部门制定、调整高危险性体育项目目录，经国务院批准后予以公布。”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法律法规规章如有变动的，以法律法规规章的要求为准。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高危险性体育项目许可管理办法》(2013年2月21日国家体育总局令第17号发布，2014年9月1日国家体育总局令第19号、2016年4月29日国家体育总局令第22号修改)第七条：“企业、个体工商户经营高危险性体育项目的，应当在工商行政管理部门依法办理相关登记手续后，向县级以上地方人民政府体育主管部门申请行政许可。”</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《第一批高危险性体育项目目录公告》(2013年5月1日国家体育总局、人力资源和社会保障部、国家工商行政管理总局、国家质量监督检验检疫总局、国家安全生产监督管理总局公告第16号发布)。</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644"/>
        <w:textAlignment w:val="baseline"/>
        <w:outlineLvl w:val="0"/>
        <w:rPr>
          <w:rFonts w:hint="eastAsia" w:ascii="黑体" w:hAnsi="黑体" w:eastAsia="黑体" w:cs="黑体"/>
          <w:sz w:val="32"/>
          <w:szCs w:val="32"/>
        </w:rPr>
      </w:pPr>
      <w:r>
        <w:rPr>
          <w:rFonts w:hint="eastAsia" w:ascii="黑体" w:hAnsi="黑体" w:eastAsia="黑体" w:cs="黑体"/>
          <w:spacing w:val="-7"/>
          <w:sz w:val="32"/>
          <w:szCs w:val="32"/>
        </w:rPr>
        <w:t>三</w:t>
      </w:r>
      <w:r>
        <w:rPr>
          <w:rFonts w:hint="eastAsia" w:ascii="黑体" w:hAnsi="黑体" w:eastAsia="黑体" w:cs="黑体"/>
          <w:spacing w:val="-6"/>
          <w:sz w:val="32"/>
          <w:szCs w:val="32"/>
        </w:rPr>
        <w:t>、法定条件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本行政许可(审批)事项获得批准应当具备下列条件、标准和技术要求：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相关体育设施符合国家标准;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游泳池、救生设施、救生器材等设施符合国家标准</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(GB19079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1-2013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□滑雪道、设施设备等符合国家标准(GB19079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6-2013)</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□潜水用池、设施等符合国家标准(GB19079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10-2013)</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攀岩壁、设施等符合国家标准准(GB19079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4-2014)</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其他：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具有达到规定数量的取得国家职业资格证书的社会体育指导人员和救助人员;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□游泳项目具有达到国家标准(GB19079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1-2013)规定数量的取得国家职业资格证书的社会体育指导人员和救助人员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□滑雪项目至少配备5名取得国家职业资格证书的社会体育指导员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□潜水项目具有符合国家标准(GB19079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10-2013)数量要求、取得国家职业资格证书的社会体育指导员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□攀岩项目至少配备1名取得国家职业资格证书的社会体育指导员</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具有相应的安全保障制度和措施;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游泳项目应包括安全生产岗位责任制，溺水抢救操作规程，溺水突发事件应急预案，游泳设施、设备、器材安全检查制度、救生员定期培训制度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滑雪项目应包括安全生产岗位责任制，安全操作规程，突发事件应急预案，滑雪设施、设备、器材安全检查制度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□潜水项目应包括安全生产岗位责任制，溺水抢救操作程，溺水突发事件应急预案，潜水设施、设备、器材安全检查制度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□攀岩项目应包括安全岗位责任制，安全操作规程，突发事件应急预案，攀岩设施、设备、器材安全检查制度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完成企业、个体工商户工商登记;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许可申请提交的材料应当符合《经营高危险性体育项目许可管理办法》的规定。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四、应当提交的材料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根据审批依据和法定条件，本行政许可(审批)事项获得批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准，申请人应当提交下列材料：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申请书(包括申请人的名称、住所，拟经营的高危险性体育项目);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体育设施符合相关国家标准的说明性材料;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经营场所的所有权或使用权证明材料(土地、房屋所有权证或租赁协议或其他文件及复印件);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四</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社会体育指导人员、救助人员的职业资格证书及复印件;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安全保障制度和措施书面材料(安全生产岗位责任制、安全操作规程或安全守则、安全救助、突发事件应急预案、设施、设备、器材安全检查制度)。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五、承诺的方式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本行政许可(审批)事项办理采用书面承诺方式，申请人愿意</w:t>
      </w:r>
      <w:r>
        <w:rPr>
          <w:rFonts w:hint="eastAsia" w:ascii="仿宋_GB2312" w:hAnsi="仿宋_GB2312" w:eastAsia="仿宋_GB2312" w:cs="仿宋_GB2312"/>
          <w:spacing w:val="-6"/>
          <w:sz w:val="32"/>
          <w:szCs w:val="32"/>
        </w:rPr>
        <w:t>作出承诺的，应当向行政机关提交本人签字后的告知承诺书原件。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本事项办理必须由申请人作出承诺，不可代为承诺。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六、承诺的效力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愿意做出承诺的，在收到本告知承诺书之日作出承诺。申请人书面承诺符合上述申请条件、标准、要求并愿意承担不实承诺的法律责任，提交签章的告知承诺书后，行政许可(审批)机关不再索要有关证明，当场作出许可决定。申请人不愿承诺或者无法承诺的，行政审批机关将按照一般程序办理行政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七、监督管理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适用告知承诺制作出高危险性体育项目经营许可决定之日起15个工作日内，</w:t>
      </w:r>
      <w:r>
        <w:rPr>
          <w:rFonts w:hint="eastAsia" w:ascii="仿宋_GB2312" w:hAnsi="仿宋_GB2312" w:eastAsia="仿宋_GB2312" w:cs="仿宋_GB2312"/>
          <w:color w:val="auto"/>
          <w:sz w:val="32"/>
          <w:szCs w:val="32"/>
          <w:lang w:eastAsia="zh-CN"/>
        </w:rPr>
        <w:t>地方体育行政部门</w:t>
      </w:r>
      <w:r>
        <w:rPr>
          <w:rFonts w:hint="eastAsia" w:ascii="仿宋_GB2312" w:hAnsi="仿宋_GB2312" w:eastAsia="仿宋_GB2312" w:cs="仿宋_GB2312"/>
          <w:sz w:val="32"/>
          <w:szCs w:val="32"/>
        </w:rPr>
        <w:t>依法对申请人承诺情况进行现场核查。对于公共信息平台可以查阅或行政机关之间共享的内容，免予核查。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八、不实承诺的惩戒和法律责任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对申请人作出承诺后，</w:t>
      </w:r>
      <w:r>
        <w:rPr>
          <w:rFonts w:hint="eastAsia" w:ascii="仿宋_GB2312" w:hAnsi="仿宋_GB2312" w:eastAsia="仿宋_GB2312" w:cs="仿宋_GB2312"/>
          <w:color w:val="auto"/>
          <w:sz w:val="32"/>
          <w:szCs w:val="32"/>
          <w:lang w:eastAsia="zh-CN"/>
        </w:rPr>
        <w:t>地方体育行政部门</w:t>
      </w:r>
      <w:r>
        <w:rPr>
          <w:rFonts w:hint="eastAsia" w:ascii="仿宋_GB2312" w:hAnsi="仿宋_GB2312" w:eastAsia="仿宋_GB2312" w:cs="仿宋_GB2312"/>
          <w:sz w:val="32"/>
          <w:szCs w:val="32"/>
        </w:rPr>
        <w:t>在核查、日常监管中发现承诺不实的，应当责令限期整改，申请人应立即停止经营活动，逾期不整改或者整改后仍不符合承诺的，应当依法吊销许可证，并责令停止营业。</w:t>
      </w:r>
      <w:r>
        <w:rPr>
          <w:rFonts w:hint="eastAsia" w:ascii="仿宋_GB2312" w:hAnsi="仿宋_GB2312" w:eastAsia="仿宋_GB2312" w:cs="仿宋_GB2312"/>
          <w:color w:val="auto"/>
          <w:sz w:val="32"/>
          <w:szCs w:val="32"/>
          <w:lang w:eastAsia="zh-CN"/>
        </w:rPr>
        <w:t>地方体育行政部门和</w:t>
      </w:r>
      <w:r>
        <w:rPr>
          <w:rFonts w:hint="eastAsia" w:ascii="仿宋_GB2312" w:hAnsi="仿宋_GB2312" w:eastAsia="仿宋_GB2312" w:cs="仿宋_GB2312"/>
          <w:sz w:val="32"/>
          <w:szCs w:val="32"/>
        </w:rPr>
        <w:t>行政审批机关应将承诺不实或以其他违法方式取得许可的申请人列入严重失信主体名单，不再适用告知承诺的审批方式，严格监管，依法对其实施信用约束和联合惩戒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涉嫌犯罪的，依法移送司法机关。</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outlineLvl w:val="9"/>
        <w:rPr>
          <w:rFonts w:hint="eastAsia" w:ascii="黑体" w:hAnsi="黑体" w:eastAsia="黑体" w:cs="黑体"/>
          <w:sz w:val="36"/>
          <w:szCs w:val="36"/>
        </w:rPr>
      </w:pPr>
      <w:r>
        <w:rPr>
          <w:rFonts w:hint="eastAsia" w:ascii="黑体" w:hAnsi="黑体" w:eastAsia="黑体" w:cs="黑体"/>
          <w:spacing w:val="19"/>
          <w:sz w:val="36"/>
          <w:szCs w:val="36"/>
        </w:rPr>
        <w:t>第</w:t>
      </w:r>
      <w:r>
        <w:rPr>
          <w:rFonts w:hint="eastAsia" w:ascii="黑体" w:hAnsi="黑体" w:eastAsia="黑体" w:cs="黑体"/>
          <w:spacing w:val="12"/>
          <w:sz w:val="36"/>
          <w:szCs w:val="36"/>
        </w:rPr>
        <w:t>三部分</w:t>
      </w:r>
      <w:r>
        <w:rPr>
          <w:rFonts w:hint="eastAsia" w:ascii="黑体" w:hAnsi="黑体" w:eastAsia="黑体" w:cs="黑体"/>
          <w:spacing w:val="12"/>
          <w:sz w:val="36"/>
          <w:szCs w:val="36"/>
          <w:lang w:val="en-US" w:eastAsia="zh-CN"/>
        </w:rPr>
        <w:t xml:space="preserve">  </w:t>
      </w:r>
      <w:r>
        <w:rPr>
          <w:rFonts w:hint="eastAsia" w:ascii="黑体" w:hAnsi="黑体" w:eastAsia="黑体" w:cs="黑体"/>
          <w:spacing w:val="12"/>
          <w:sz w:val="36"/>
          <w:szCs w:val="36"/>
        </w:rPr>
        <w:t>申请人承诺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16" w:firstLineChars="200"/>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申请人就申请审批的行政许可(审批)事项，现作出下列承诺：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所填写的基本信息真实、准确;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已经知晓行政审批机关告知的全部内容;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能满足行政审批机关告知的条件和要求;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具备行政审批机关告知的应当提交的全部材料;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】材料将于本承诺之日起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日内提交(容缺受理)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□全部材料待现场核查时出具(全面承诺)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同意许可后接受行政审批机关的核查，核查方式包括但不限于证明事项原件核查、部门间核查、现场勘查;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同意本告知承诺书向社会公开，公开时限为许可有效期内;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若违反承诺或者作出不实承诺的，愿意承担相应的法律责任。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上述承诺为申请人真实意思表示。</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sectPr>
          <w:footerReference r:id="rId3" w:type="default"/>
          <w:pgSz w:w="11910" w:h="16850"/>
          <w:pgMar w:top="2098" w:right="1474" w:bottom="1701" w:left="1587" w:header="0" w:footer="992" w:gutter="0"/>
          <w:pgNumType w:fmt="numberInDash"/>
          <w:cols w:space="720" w:num="1"/>
        </w:sect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(签字盖章)</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column"/>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行政审批机关：</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outlineLvl w:val="9"/>
        <w:rPr>
          <w:rFonts w:hint="eastAsia" w:ascii="仿宋_GB2312" w:hAnsi="仿宋_GB2312" w:eastAsia="仿宋_GB2312" w:cs="仿宋_GB2312"/>
          <w:sz w:val="32"/>
          <w:szCs w:val="32"/>
        </w:rPr>
        <w:sectPr>
          <w:type w:val="continuous"/>
          <w:pgSz w:w="11910" w:h="16850"/>
          <w:pgMar w:top="400" w:right="1349" w:bottom="1693" w:left="1599" w:header="0" w:footer="1325" w:gutter="0"/>
          <w:pgNumType w:fmt="numberInDash"/>
          <w:cols w:equalWidth="0" w:num="2">
            <w:col w:w="4970" w:space="100"/>
            <w:col w:w="3891"/>
          </w:cols>
        </w:sect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仿宋_GB2312" w:hAnsi="仿宋_GB2312" w:eastAsia="仿宋_GB2312" w:cs="仿宋_GB2312"/>
          <w:sz w:val="32"/>
          <w:szCs w:val="32"/>
        </w:rPr>
        <w:sectPr>
          <w:type w:val="continuous"/>
          <w:pgSz w:w="11910" w:h="16850"/>
          <w:pgMar w:top="400" w:right="1349" w:bottom="1693" w:left="1599" w:header="0" w:footer="1325" w:gutter="0"/>
          <w:pgNumType w:fmt="numberInDash"/>
          <w:cols w:space="720" w:num="1"/>
        </w:sectPr>
      </w:pPr>
      <w:r>
        <w:rPr>
          <w:rFonts w:hint="eastAsia" w:ascii="仿宋_GB2312" w:hAnsi="仿宋_GB2312" w:eastAsia="仿宋_GB2312" w:cs="仿宋_GB2312"/>
          <w:sz w:val="32"/>
          <w:szCs w:val="32"/>
        </w:rPr>
        <w:t>(一式2份，行政审批机关与申请人各执1份)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0ECBDA-796C-42D5-BB63-71AE84827C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A2E4559-754D-462D-868C-D624598CAB0E}"/>
  </w:font>
  <w:font w:name="仿宋_GB2312">
    <w:panose1 w:val="02010609030101010101"/>
    <w:charset w:val="86"/>
    <w:family w:val="auto"/>
    <w:pitch w:val="default"/>
    <w:sig w:usb0="00000001" w:usb1="080E0000" w:usb2="00000000" w:usb3="00000000" w:csb0="00040000" w:csb1="00000000"/>
    <w:embedRegular r:id="rId3" w:fontKey="{DBD089D7-11E0-432E-AF8F-30305CA243CB}"/>
  </w:font>
  <w:font w:name="方正小标宋简体">
    <w:panose1 w:val="02000000000000000000"/>
    <w:charset w:val="86"/>
    <w:family w:val="auto"/>
    <w:pitch w:val="default"/>
    <w:sig w:usb0="00000001" w:usb1="08000000" w:usb2="00000000" w:usb3="00000000" w:csb0="00040000" w:csb1="00000000"/>
    <w:embedRegular r:id="rId4" w:fontKey="{EEEF75B3-BFF9-43D3-B96C-1989FB0BC4E2}"/>
  </w:font>
  <w:font w:name="楷体_GB2312">
    <w:altName w:val="楷体"/>
    <w:panose1 w:val="02010609030101010101"/>
    <w:charset w:val="86"/>
    <w:family w:val="auto"/>
    <w:pitch w:val="default"/>
    <w:sig w:usb0="00000000" w:usb1="00000000" w:usb2="00000000" w:usb3="00000000" w:csb0="00040000" w:csb1="00000000"/>
    <w:embedRegular r:id="rId5" w:fontKey="{794544C6-F665-442F-8974-432888903750}"/>
  </w:font>
  <w:font w:name="Wingdings 2">
    <w:panose1 w:val="05020102010507070707"/>
    <w:charset w:val="02"/>
    <w:family w:val="auto"/>
    <w:pitch w:val="default"/>
    <w:sig w:usb0="00000000" w:usb1="00000000" w:usb2="00000000" w:usb3="00000000" w:csb0="80000000" w:csb1="00000000"/>
    <w:embedRegular r:id="rId6" w:fontKey="{CA491550-A2D3-4DBF-8FE8-824D0E0735D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auto"/>
      <w:ind w:left="259"/>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- 12 -</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- 12 -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2IyOTQ5NWI5NTg4ZjA2OTRiNDIxNTc5YTQ5ZjkifQ=="/>
  </w:docVars>
  <w:rsids>
    <w:rsidRoot w:val="77BD3C4E"/>
    <w:rsid w:val="77BD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2023-05-31T10:44:00Z</dcterms:created>
  <dc:creator>刘子系</dc:creator>
  <cp:lastModifiedBy>刘子系</cp:lastModifiedBy>
  <dcterms:modified xsi:type="dcterms:W3CDTF">2023-05-31T10:44:13Z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C54BF9D45B024E9BA265709CF0717A6C_11</vt:lpwstr>
  </property>
</Properties>
</file>